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072875" w:rsidRDefault="00072875"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sectPr w:rsidR="00072875" w:rsidSect="00072875">
          <w:headerReference w:type="default" r:id="rId10"/>
          <w:type w:val="continuous"/>
          <w:pgSz w:w="11906" w:h="16838"/>
          <w:pgMar w:top="851" w:right="567" w:bottom="709" w:left="1134" w:header="284" w:footer="708" w:gutter="0"/>
          <w:pgNumType w:start="1"/>
          <w:cols w:space="708"/>
          <w:titlePg/>
          <w:docGrid w:linePitch="360"/>
        </w:sectPr>
      </w:pPr>
    </w:p>
    <w:p w:rsidR="00581293"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072875">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072875">
      <w:pPr>
        <w:pBdr>
          <w:top w:val="none" w:sz="0" w:space="0" w:color="auto"/>
          <w:left w:val="none" w:sz="0" w:space="0" w:color="auto"/>
          <w:bottom w:val="none" w:sz="0" w:space="0" w:color="auto"/>
          <w:right w:val="none" w:sz="0" w:space="0" w:color="auto"/>
          <w:between w:val="none" w:sz="0" w:space="0" w:color="auto"/>
        </w:pBdr>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rsidP="00072875">
      <w:pPr>
        <w:ind w:firstLine="709"/>
        <w:jc w:val="both"/>
        <w:rPr>
          <w:rFonts w:ascii="Times New Roman" w:eastAsia="Arial Unicode MS" w:hAnsi="Times New Roman" w:cs="Times New Roman"/>
          <w:kern w:val="3"/>
          <w:sz w:val="28"/>
          <w:szCs w:val="28"/>
          <w:bdr w:val="none" w:sz="0" w:space="0" w:color="auto" w:frame="1"/>
        </w:rPr>
      </w:pPr>
      <w:bookmarkStart w:id="0" w:name="_Toc2"/>
      <w:bookmarkStart w:id="1"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rsidP="00072875">
      <w:pPr>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0"/>
    <w:bookmarkEnd w:id="1"/>
    <w:p w:rsidR="00392D02" w:rsidRPr="00E86B0F" w:rsidRDefault="00FE12B9" w:rsidP="00072875">
      <w:pPr>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Default="00F414ED"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28"/>
          <w:szCs w:val="28"/>
        </w:rPr>
      </w:pPr>
    </w:p>
    <w:p w:rsidR="00072875" w:rsidRPr="00E86B0F" w:rsidRDefault="00072875"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28"/>
          <w:szCs w:val="28"/>
        </w:rPr>
      </w:pPr>
    </w:p>
    <w:p w:rsidR="003A2B07" w:rsidRPr="00E86B0F" w:rsidRDefault="006545E6" w:rsidP="00072875">
      <w:pPr>
        <w:pStyle w:val="a8"/>
        <w:numPr>
          <w:ilvl w:val="0"/>
          <w:numId w:val="21"/>
        </w:num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072875">
      <w:pPr>
        <w:pStyle w:val="a8"/>
        <w:numPr>
          <w:ilvl w:val="1"/>
          <w:numId w:val="15"/>
        </w:numPr>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lastRenderedPageBreak/>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rsidP="00072875">
      <w:pPr>
        <w:pBdr>
          <w:top w:val="none" w:sz="0" w:space="0" w:color="auto"/>
          <w:left w:val="none" w:sz="0" w:space="0" w:color="auto"/>
          <w:bottom w:val="none" w:sz="0" w:space="0" w:color="auto"/>
          <w:right w:val="none" w:sz="0" w:space="0" w:color="auto"/>
          <w:between w:val="none" w:sz="0" w:space="0" w:color="auto"/>
        </w:pBdr>
        <w:ind w:left="710"/>
        <w:contextualSpacing/>
        <w:jc w:val="both"/>
        <w:rPr>
          <w:rFonts w:ascii="Times New Roman" w:eastAsia="Calibri" w:hAnsi="Times New Roman" w:cs="Times New Roman"/>
          <w:color w:val="auto"/>
          <w:sz w:val="28"/>
          <w:szCs w:val="28"/>
          <w:lang w:eastAsia="en-US"/>
        </w:rPr>
      </w:pPr>
    </w:p>
    <w:p w:rsidR="0056051B" w:rsidRDefault="00FE7C7C" w:rsidP="00072875">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Default="0046028D"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072875" w:rsidRPr="00E86B0F" w:rsidRDefault="00072875"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p>
    <w:p w:rsidR="0056051B" w:rsidRDefault="002C6E7B"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072875">
      <w:pPr>
        <w:pStyle w:val="a8"/>
        <w:pBdr>
          <w:top w:val="none" w:sz="0" w:space="0" w:color="auto"/>
          <w:left w:val="none" w:sz="0" w:space="0" w:color="auto"/>
          <w:bottom w:val="none" w:sz="0" w:space="0" w:color="auto"/>
          <w:right w:val="none" w:sz="0" w:space="0" w:color="auto"/>
          <w:between w:val="none" w:sz="0" w:space="0" w:color="auto"/>
        </w:pBdr>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072875">
      <w:pPr>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072875">
      <w:pPr>
        <w:pStyle w:val="a8"/>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072875">
      <w:pPr>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072875">
      <w:pPr>
        <w:widowControl w:val="0"/>
        <w:suppressAutoHyphens/>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072875">
      <w:pPr>
        <w:ind w:firstLine="709"/>
        <w:jc w:val="both"/>
        <w:rPr>
          <w:rFonts w:ascii="Times New Roman" w:hAnsi="Times New Roman" w:cs="Times New Roman"/>
          <w:sz w:val="28"/>
          <w:szCs w:val="28"/>
        </w:rPr>
      </w:pPr>
      <w:r w:rsidRPr="00E86B0F">
        <w:rPr>
          <w:rFonts w:ascii="Times New Roman" w:hAnsi="Times New Roman" w:cs="Times New Roman"/>
          <w:sz w:val="28"/>
          <w:szCs w:val="28"/>
        </w:rPr>
        <w:lastRenderedPageBreak/>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072875">
      <w:pPr>
        <w:widowControl w:val="0"/>
        <w:suppressAutoHyphens/>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lastRenderedPageBreak/>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p>
    <w:p w:rsidR="0056051B" w:rsidRDefault="00E62269"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Calibri" w:hAnsi="Times New Roman" w:cs="Times New Roman"/>
          <w:color w:val="auto"/>
          <w:sz w:val="28"/>
          <w:szCs w:val="28"/>
          <w:lang w:eastAsia="en-US"/>
        </w:rPr>
      </w:pPr>
    </w:p>
    <w:p w:rsidR="0056051B" w:rsidRDefault="0092136C"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Default="00E45D60"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lastRenderedPageBreak/>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072875" w:rsidRPr="00E86B0F" w:rsidRDefault="00072875"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hAnsi="Times New Roman" w:cs="Times New Roman"/>
          <w:sz w:val="28"/>
          <w:szCs w:val="28"/>
          <w:lang w:eastAsia="en-US"/>
        </w:rPr>
      </w:pPr>
    </w:p>
    <w:p w:rsidR="0056051B" w:rsidRDefault="00A041EC"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666C3E" w:rsidRPr="00E86B0F" w:rsidRDefault="005D032C"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072875" w:rsidRDefault="00072875" w:rsidP="00072875">
      <w:pPr>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Calibri" w:hAnsi="Times New Roman" w:cs="Times New Roman"/>
          <w:b/>
          <w:color w:val="auto"/>
          <w:sz w:val="28"/>
          <w:szCs w:val="28"/>
          <w:lang w:eastAsia="en-US"/>
        </w:rPr>
        <w:sectPr w:rsidR="00072875" w:rsidSect="00FA32C8">
          <w:pgSz w:w="11906" w:h="16838"/>
          <w:pgMar w:top="851" w:right="567" w:bottom="709" w:left="1134" w:header="284" w:footer="708" w:gutter="0"/>
          <w:pgNumType w:start="1"/>
          <w:cols w:space="708"/>
          <w:titlePg/>
          <w:docGrid w:linePitch="360"/>
        </w:sect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rsidP="00FA32C8">
      <w:pPr>
        <w:tabs>
          <w:tab w:val="left" w:pos="0"/>
        </w:tabs>
        <w:spacing w:line="240" w:lineRule="auto"/>
        <w:ind w:left="2552" w:hanging="283"/>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w:t>
      </w:r>
      <w:r w:rsidR="00072875">
        <w:rPr>
          <w:rFonts w:ascii="Times New Roman" w:eastAsia="Calibri" w:hAnsi="Times New Roman" w:cs="Times New Roman"/>
          <w:color w:val="auto"/>
          <w:sz w:val="28"/>
          <w:szCs w:val="28"/>
          <w:lang w:eastAsia="en-US"/>
        </w:rPr>
        <w:t xml:space="preserve"> </w:t>
      </w:r>
      <w:r w:rsidR="00376E88" w:rsidRPr="00E86B0F">
        <w:rPr>
          <w:rFonts w:ascii="Times New Roman" w:eastAsia="Calibri" w:hAnsi="Times New Roman" w:cs="Times New Roman"/>
          <w:color w:val="auto"/>
          <w:sz w:val="28"/>
          <w:szCs w:val="28"/>
          <w:lang w:eastAsia="en-US"/>
        </w:rPr>
        <w:t>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tbl>
      <w:tblPr>
        <w:tblpPr w:leftFromText="180" w:rightFromText="180" w:bottomFromText="200" w:vertAnchor="text" w:horzAnchor="margin" w:tblpX="-408" w:tblpY="199"/>
        <w:tblW w:w="10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06"/>
        <w:gridCol w:w="4819"/>
        <w:gridCol w:w="3544"/>
        <w:gridCol w:w="1843"/>
      </w:tblGrid>
      <w:tr w:rsidR="00B346F8" w:rsidRPr="00E86B0F" w:rsidTr="00072875">
        <w:trPr>
          <w:trHeight w:val="30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w:t>
            </w:r>
            <w:r w:rsidR="00072875">
              <w:rPr>
                <w:rFonts w:ascii="Times New Roman" w:eastAsia="Arial Unicode MS" w:hAnsi="Times New Roman" w:cs="Times New Roman"/>
                <w:sz w:val="26"/>
                <w:szCs w:val="26"/>
                <w:bdr w:val="none" w:sz="0" w:space="0" w:color="auto" w:frame="1"/>
                <w:lang w:eastAsia="en-US"/>
              </w:rPr>
              <w:t>е</w:t>
            </w:r>
            <w:r w:rsidRPr="00E86B0F">
              <w:rPr>
                <w:rFonts w:ascii="Times New Roman" w:eastAsia="Arial Unicode MS" w:hAnsi="Times New Roman" w:cs="Times New Roman"/>
                <w:sz w:val="26"/>
                <w:szCs w:val="26"/>
                <w:bdr w:val="none" w:sz="0" w:space="0" w:color="auto" w:frame="1"/>
                <w:lang w:eastAsia="en-US"/>
              </w:rPr>
              <w:t xml:space="preserve"> года реализации меропри</w:t>
            </w:r>
            <w:r w:rsidR="00072875">
              <w:rPr>
                <w:rFonts w:ascii="Times New Roman" w:eastAsia="Arial Unicode MS" w:hAnsi="Times New Roman" w:cs="Times New Roman"/>
                <w:sz w:val="26"/>
                <w:szCs w:val="26"/>
                <w:bdr w:val="none" w:sz="0" w:space="0" w:color="auto" w:frame="1"/>
                <w:lang w:eastAsia="en-US"/>
              </w:rPr>
              <w:t>я</w:t>
            </w:r>
            <w:r w:rsidRPr="00E86B0F">
              <w:rPr>
                <w:rFonts w:ascii="Times New Roman" w:eastAsia="Arial Unicode MS" w:hAnsi="Times New Roman" w:cs="Times New Roman"/>
                <w:sz w:val="26"/>
                <w:szCs w:val="26"/>
                <w:bdr w:val="none" w:sz="0" w:space="0" w:color="auto" w:frame="1"/>
                <w:lang w:eastAsia="en-US"/>
              </w:rPr>
              <w:t>тий)</w:t>
            </w:r>
          </w:p>
        </w:tc>
      </w:tr>
      <w:tr w:rsidR="00B346F8" w:rsidRPr="00E86B0F" w:rsidTr="00072875">
        <w:trPr>
          <w:trHeight w:val="570"/>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rsidP="00072875">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072875">
        <w:trPr>
          <w:trHeight w:val="541"/>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072875">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2.</w:t>
            </w: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072875">
        <w:trPr>
          <w:trHeight w:val="173"/>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072875">
        <w:trPr>
          <w:trHeight w:val="331"/>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072875">
        <w:trPr>
          <w:trHeight w:val="189"/>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w:t>
            </w:r>
            <w:r w:rsidRPr="000C0CF6">
              <w:rPr>
                <w:rFonts w:ascii="Times New Roman" w:eastAsia="Arial Unicode MS" w:hAnsi="Times New Roman" w:cs="Times New Roman"/>
                <w:sz w:val="26"/>
                <w:szCs w:val="26"/>
                <w:bdr w:val="none" w:sz="0" w:space="0" w:color="auto" w:frame="1"/>
                <w:lang w:eastAsia="en-US"/>
              </w:rPr>
              <w:lastRenderedPageBreak/>
              <w:t xml:space="preserve">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lastRenderedPageBreak/>
              <w:t>письмо и акт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072875">
        <w:trPr>
          <w:trHeight w:val="837"/>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072875">
        <w:trPr>
          <w:trHeight w:val="827"/>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проводимых ведомственным 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072875">
        <w:trPr>
          <w:trHeight w:val="265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072875">
        <w:trPr>
          <w:trHeight w:val="62"/>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072875">
        <w:trPr>
          <w:trHeight w:val="99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r w:rsidR="00072875">
              <w:rPr>
                <w:rFonts w:ascii="Times New Roman" w:eastAsia="Arial Unicode MS" w:hAnsi="Times New Roman" w:cs="Times New Roman"/>
                <w:sz w:val="26"/>
                <w:szCs w:val="26"/>
                <w:bdr w:val="none" w:sz="0" w:space="0" w:color="auto" w:frame="1"/>
                <w:lang w:eastAsia="en-US"/>
              </w:rPr>
              <w:t xml:space="preserve"> </w:t>
            </w: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072875">
        <w:trPr>
          <w:trHeight w:val="50"/>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C23EC1" w:rsidRPr="00E86B0F" w:rsidRDefault="00C23EC1">
      <w:pPr>
        <w:rPr>
          <w:rFonts w:ascii="Times New Roman" w:hAnsi="Times New Roman" w:cs="Times New Roman"/>
          <w:sz w:val="28"/>
          <w:szCs w:val="28"/>
        </w:rPr>
        <w:sectPr w:rsidR="00C23EC1" w:rsidRPr="00E86B0F" w:rsidSect="00072875">
          <w:pgSz w:w="11906" w:h="16838"/>
          <w:pgMar w:top="567" w:right="567" w:bottom="709" w:left="1134" w:header="284" w:footer="708" w:gutter="0"/>
          <w:pgNumType w:start="1"/>
          <w:cols w:space="708"/>
          <w:titlePg/>
          <w:docGrid w:linePitch="360"/>
        </w:sectPr>
      </w:pPr>
    </w:p>
    <w:p w:rsidR="00CF7627" w:rsidRPr="00E86B0F" w:rsidRDefault="009B6D9E" w:rsidP="00FA32C8">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lang w:val="en-US"/>
        </w:rPr>
        <w:lastRenderedPageBreak/>
        <w:t xml:space="preserve"> </w:t>
      </w:r>
      <w:r w:rsidR="00CF7627" w:rsidRPr="00E86B0F">
        <w:rPr>
          <w:rFonts w:ascii="Times New Roman" w:hAnsi="Times New Roman" w:cs="Times New Roman"/>
          <w:sz w:val="28"/>
          <w:szCs w:val="28"/>
        </w:rPr>
        <w:t>Приложение № 2</w:t>
      </w:r>
    </w:p>
    <w:p w:rsidR="0056051B" w:rsidRDefault="00CF7627" w:rsidP="00FA32C8">
      <w:pPr>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FA32C8">
        <w:trPr>
          <w:trHeight w:val="1547"/>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электронных таблиц и презентаций распространенных форматов </w:t>
            </w:r>
            <w:r w:rsidRPr="000C0CF6">
              <w:rPr>
                <w:rFonts w:ascii="Times New Roman" w:eastAsia="Times New Roman" w:hAnsi="Times New Roman" w:cs="Times New Roman"/>
                <w:sz w:val="26"/>
                <w:szCs w:val="26"/>
              </w:rPr>
              <w:lastRenderedPageBreak/>
              <w:t>(.odt,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w:t>
            </w:r>
            <w:r w:rsidRPr="000C0CF6">
              <w:rPr>
                <w:rFonts w:ascii="Times New Roman" w:eastAsia="Times New Roman" w:hAnsi="Times New Roman" w:cs="Times New Roman"/>
                <w:sz w:val="26"/>
                <w:szCs w:val="26"/>
              </w:rPr>
              <w:lastRenderedPageBreak/>
              <w:t>"белой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243AF5">
        <w:trPr>
          <w:trHeight w:val="45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23EC1" w:rsidRPr="00E86B0F" w:rsidRDefault="00C23EC1" w:rsidP="00243AF5">
      <w:pPr>
        <w:spacing w:line="240" w:lineRule="auto"/>
        <w:rPr>
          <w:rFonts w:ascii="Times New Roman" w:hAnsi="Times New Roman" w:cs="Times New Roman"/>
          <w:sz w:val="28"/>
          <w:szCs w:val="28"/>
        </w:rPr>
        <w:sectPr w:rsidR="00C23EC1" w:rsidRPr="00E86B0F" w:rsidSect="00FA32C8">
          <w:pgSz w:w="16838" w:h="11906" w:orient="landscape"/>
          <w:pgMar w:top="567" w:right="1134" w:bottom="567" w:left="1134" w:header="708" w:footer="708" w:gutter="0"/>
          <w:cols w:space="708"/>
          <w:titlePg/>
          <w:docGrid w:linePitch="360"/>
        </w:sectPr>
      </w:pPr>
      <w:r w:rsidRPr="00E86B0F">
        <w:rPr>
          <w:rFonts w:ascii="Times New Roman" w:eastAsia="Times New Roman" w:hAnsi="Times New Roman" w:cs="Times New Roman"/>
          <w:b/>
          <w:bCs/>
          <w:color w:val="FF0000"/>
          <w:sz w:val="28"/>
          <w:szCs w:val="28"/>
        </w:rPr>
        <w:t>ВНИМАНИЕ!</w:t>
      </w:r>
      <w:r w:rsidR="00243AF5">
        <w:rPr>
          <w:rFonts w:ascii="Times New Roman" w:eastAsia="Times New Roman" w:hAnsi="Times New Roman" w:cs="Times New Roman"/>
          <w:b/>
          <w:bCs/>
          <w:color w:val="FF0000"/>
          <w:sz w:val="28"/>
          <w:szCs w:val="28"/>
        </w:rPr>
        <w:t xml:space="preserve"> </w:t>
      </w: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r w:rsidR="000C0CF6" w:rsidRPr="000C0CF6">
        <w:rPr>
          <w:rFonts w:ascii="Times New Roman" w:hAnsi="Times New Roman" w:cs="Times New Roman"/>
          <w:sz w:val="28"/>
          <w:szCs w:val="28"/>
        </w:rPr>
        <w:br w:type="page"/>
      </w:r>
    </w:p>
    <w:p w:rsidR="00274B56" w:rsidRPr="00FA32C8" w:rsidRDefault="00274B56" w:rsidP="00FA32C8">
      <w:pPr>
        <w:spacing w:line="240" w:lineRule="auto"/>
        <w:jc w:val="right"/>
        <w:rPr>
          <w:rFonts w:ascii="Times New Roman" w:hAnsi="Times New Roman" w:cs="Times New Roman"/>
          <w:sz w:val="24"/>
          <w:szCs w:val="28"/>
        </w:rPr>
      </w:pPr>
      <w:r w:rsidRPr="00FA32C8">
        <w:rPr>
          <w:rFonts w:ascii="Times New Roman" w:hAnsi="Times New Roman" w:cs="Times New Roman"/>
          <w:sz w:val="24"/>
          <w:szCs w:val="28"/>
        </w:rPr>
        <w:lastRenderedPageBreak/>
        <w:t xml:space="preserve">Приложение № 3 </w:t>
      </w:r>
    </w:p>
    <w:p w:rsidR="00C23224" w:rsidRPr="00FA32C8" w:rsidRDefault="00274B56" w:rsidP="00FA32C8">
      <w:pPr>
        <w:spacing w:line="240" w:lineRule="auto"/>
        <w:ind w:left="3119" w:hanging="567"/>
        <w:jc w:val="right"/>
        <w:rPr>
          <w:rFonts w:ascii="Times New Roman" w:hAnsi="Times New Roman" w:cs="Times New Roman"/>
          <w:sz w:val="24"/>
          <w:szCs w:val="28"/>
        </w:rPr>
      </w:pPr>
      <w:r w:rsidRPr="00FA32C8">
        <w:rPr>
          <w:rFonts w:ascii="Times New Roman" w:hAnsi="Times New Roman" w:cs="Times New Roman"/>
          <w:sz w:val="24"/>
          <w:szCs w:val="28"/>
        </w:rPr>
        <w:t xml:space="preserve">к </w:t>
      </w:r>
      <w:r w:rsidR="00C23224" w:rsidRPr="00FA32C8">
        <w:rPr>
          <w:rFonts w:ascii="Times New Roman" w:hAnsi="Times New Roman" w:cs="Times New Roman"/>
          <w:sz w:val="24"/>
          <w:szCs w:val="28"/>
        </w:rPr>
        <w:t xml:space="preserve">методическим рекомендациям </w:t>
      </w:r>
      <w:r w:rsidR="00C23224" w:rsidRPr="00FA32C8">
        <w:rPr>
          <w:rFonts w:ascii="Times New Roman" w:eastAsia="Calibri" w:hAnsi="Times New Roman" w:cs="Times New Roman"/>
          <w:color w:val="auto"/>
          <w:sz w:val="24"/>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w:t>
      </w:r>
      <w:bookmarkStart w:id="2" w:name="_GoBack"/>
      <w:bookmarkEnd w:id="2"/>
      <w:r w:rsidR="00C23224" w:rsidRPr="00FA32C8">
        <w:rPr>
          <w:rFonts w:ascii="Times New Roman" w:eastAsia="Calibri" w:hAnsi="Times New Roman" w:cs="Times New Roman"/>
          <w:color w:val="auto"/>
          <w:sz w:val="24"/>
          <w:szCs w:val="28"/>
          <w:lang w:eastAsia="en-US"/>
        </w:rPr>
        <w:t>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0C46EE" w:rsidP="00FA32C8">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1670BE" w:rsidP="00FA32C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74B56" w:rsidRPr="00E86B0F">
        <w:rPr>
          <w:rFonts w:ascii="Times New Roman" w:hAnsi="Times New Roman" w:cs="Times New Roman"/>
          <w:b/>
          <w:sz w:val="28"/>
          <w:szCs w:val="28"/>
        </w:rPr>
        <w:t xml:space="preserve"> образования цифрового и гуманитарного профилей </w:t>
      </w:r>
    </w:p>
    <w:p w:rsidR="00274B56" w:rsidRPr="00E86B0F" w:rsidRDefault="00274B56" w:rsidP="00FA32C8">
      <w:pPr>
        <w:spacing w:line="240" w:lineRule="auto"/>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tbl>
      <w:tblPr>
        <w:tblStyle w:val="ab"/>
        <w:tblW w:w="10998" w:type="dxa"/>
        <w:tblLayout w:type="fixed"/>
        <w:tblLook w:val="04A0" w:firstRow="1" w:lastRow="0" w:firstColumn="1" w:lastColumn="0" w:noHBand="0" w:noVBand="1"/>
      </w:tblPr>
      <w:tblGrid>
        <w:gridCol w:w="540"/>
        <w:gridCol w:w="2262"/>
        <w:gridCol w:w="1731"/>
        <w:gridCol w:w="1245"/>
        <w:gridCol w:w="3402"/>
        <w:gridCol w:w="1818"/>
      </w:tblGrid>
      <w:tr w:rsidR="00274B56" w:rsidRPr="00E86B0F" w:rsidTr="00FA32C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FA32C8">
            <w:pPr>
              <w:rPr>
                <w:rFonts w:ascii="Times New Roman" w:hAnsi="Times New Roman" w:cs="Times New Roman"/>
                <w:sz w:val="24"/>
                <w:szCs w:val="24"/>
                <w:lang w:eastAsia="en-US"/>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Запуск сайта</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отделениях «Почты </w:t>
            </w:r>
            <w:r w:rsidR="00274B56" w:rsidRPr="00E86B0F">
              <w:rPr>
                <w:rFonts w:ascii="Times New Roman" w:hAnsi="Times New Roman" w:cs="Times New Roman"/>
                <w:sz w:val="24"/>
                <w:szCs w:val="24"/>
              </w:rPr>
              <w:lastRenderedPageBreak/>
              <w:t xml:space="preserve">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Печатные </w:t>
            </w:r>
            <w:r w:rsidRPr="00E86B0F">
              <w:rPr>
                <w:rFonts w:ascii="Times New Roman" w:hAnsi="Times New Roman" w:cs="Times New Roman"/>
                <w:sz w:val="24"/>
                <w:szCs w:val="24"/>
                <w:lang w:eastAsia="en-US"/>
              </w:rPr>
              <w:lastRenderedPageBreak/>
              <w:t>СМИ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интервью</w:t>
            </w:r>
          </w:p>
        </w:tc>
      </w:tr>
      <w:tr w:rsidR="00274B56" w:rsidRPr="00E86B0F" w:rsidTr="00FA32C8">
        <w:trPr>
          <w:trHeight w:val="1353"/>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FA32C8"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Выходит обзорный репортаж по итогам выезда на места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9.</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Делаются фотографии и видео для дальнейшего использования в работе</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26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3402" w:type="dxa"/>
            <w:vMerge w:val="restart"/>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FA32C8">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26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hideMark/>
          </w:tcPr>
          <w:p w:rsidR="00274B56" w:rsidRPr="00E86B0F" w:rsidRDefault="00274B56" w:rsidP="00A0313A">
            <w:pPr>
              <w:rPr>
                <w:rFonts w:ascii="Times New Roman" w:hAnsi="Times New Roman" w:cs="Times New Roman"/>
                <w:sz w:val="24"/>
                <w:szCs w:val="24"/>
                <w:lang w:eastAsia="en-US"/>
              </w:rPr>
            </w:pPr>
          </w:p>
        </w:tc>
        <w:tc>
          <w:tcPr>
            <w:tcW w:w="3402"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26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hideMark/>
          </w:tcPr>
          <w:p w:rsidR="00274B56" w:rsidRPr="00E86B0F" w:rsidRDefault="00274B56" w:rsidP="00A0313A">
            <w:pPr>
              <w:rPr>
                <w:rFonts w:ascii="Times New Roman" w:hAnsi="Times New Roman" w:cs="Times New Roman"/>
                <w:sz w:val="24"/>
                <w:szCs w:val="24"/>
                <w:lang w:eastAsia="en-US"/>
              </w:rPr>
            </w:pPr>
          </w:p>
        </w:tc>
        <w:tc>
          <w:tcPr>
            <w:tcW w:w="3402"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26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hideMark/>
          </w:tcPr>
          <w:p w:rsidR="00274B56" w:rsidRPr="00E86B0F" w:rsidRDefault="00274B56" w:rsidP="00A0313A">
            <w:pPr>
              <w:rPr>
                <w:rFonts w:ascii="Times New Roman" w:hAnsi="Times New Roman" w:cs="Times New Roman"/>
                <w:sz w:val="24"/>
                <w:szCs w:val="24"/>
                <w:lang w:eastAsia="en-US"/>
              </w:rPr>
            </w:pPr>
          </w:p>
        </w:tc>
        <w:tc>
          <w:tcPr>
            <w:tcW w:w="3402"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24C8A" w:rsidRPr="00E86B0F" w:rsidRDefault="00224C8A">
      <w:pPr>
        <w:rPr>
          <w:rFonts w:ascii="Times New Roman" w:hAnsi="Times New Roman" w:cs="Times New Roman"/>
          <w:sz w:val="24"/>
          <w:szCs w:val="24"/>
          <w:lang w:val="en-US"/>
        </w:rPr>
        <w:sectPr w:rsidR="00224C8A" w:rsidRPr="00E86B0F" w:rsidSect="00FA32C8">
          <w:pgSz w:w="11906" w:h="16838"/>
          <w:pgMar w:top="426" w:right="1134" w:bottom="426" w:left="567" w:header="284" w:footer="708" w:gutter="0"/>
          <w:cols w:space="708"/>
          <w:titlePg/>
          <w:docGrid w:linePitch="360"/>
        </w:sectPr>
      </w:pPr>
    </w:p>
    <w:p w:rsidR="0056051B" w:rsidRPr="00FA32C8" w:rsidRDefault="00093D3B" w:rsidP="00FA32C8">
      <w:pPr>
        <w:tabs>
          <w:tab w:val="left" w:pos="0"/>
        </w:tabs>
        <w:spacing w:line="240" w:lineRule="auto"/>
        <w:ind w:left="2160"/>
        <w:jc w:val="right"/>
        <w:rPr>
          <w:rFonts w:ascii="Times New Roman" w:hAnsi="Times New Roman" w:cs="Times New Roman"/>
          <w:sz w:val="24"/>
          <w:szCs w:val="24"/>
        </w:rPr>
      </w:pPr>
      <w:r w:rsidRPr="00FA32C8">
        <w:rPr>
          <w:rFonts w:ascii="Times New Roman" w:hAnsi="Times New Roman" w:cs="Times New Roman"/>
          <w:sz w:val="24"/>
          <w:szCs w:val="24"/>
        </w:rPr>
        <w:lastRenderedPageBreak/>
        <w:t>Приложение</w:t>
      </w:r>
      <w:r w:rsidR="00D93183" w:rsidRPr="00FA32C8">
        <w:rPr>
          <w:rFonts w:ascii="Times New Roman" w:hAnsi="Times New Roman" w:cs="Times New Roman"/>
          <w:sz w:val="24"/>
          <w:szCs w:val="24"/>
        </w:rPr>
        <w:t xml:space="preserve"> №</w:t>
      </w:r>
      <w:r w:rsidRPr="00FA32C8">
        <w:rPr>
          <w:rFonts w:ascii="Times New Roman" w:hAnsi="Times New Roman" w:cs="Times New Roman"/>
          <w:sz w:val="24"/>
          <w:szCs w:val="24"/>
        </w:rPr>
        <w:t xml:space="preserve"> 4</w:t>
      </w:r>
    </w:p>
    <w:p w:rsidR="0056051B" w:rsidRPr="00FA32C8" w:rsidRDefault="00093D3B" w:rsidP="00FA32C8">
      <w:pPr>
        <w:tabs>
          <w:tab w:val="left" w:pos="0"/>
        </w:tabs>
        <w:spacing w:line="240" w:lineRule="auto"/>
        <w:ind w:left="2160"/>
        <w:jc w:val="right"/>
        <w:rPr>
          <w:rFonts w:ascii="Times New Roman" w:hAnsi="Times New Roman" w:cs="Times New Roman"/>
          <w:sz w:val="24"/>
          <w:szCs w:val="24"/>
        </w:rPr>
      </w:pPr>
      <w:r w:rsidRPr="00FA32C8">
        <w:rPr>
          <w:rFonts w:ascii="Times New Roman" w:hAnsi="Times New Roman" w:cs="Times New Roman"/>
          <w:sz w:val="24"/>
          <w:szCs w:val="24"/>
        </w:rPr>
        <w:t xml:space="preserve">к </w:t>
      </w:r>
      <w:r w:rsidR="00C23224" w:rsidRPr="00FA32C8">
        <w:rPr>
          <w:rFonts w:ascii="Times New Roman" w:hAnsi="Times New Roman" w:cs="Times New Roman"/>
          <w:sz w:val="24"/>
          <w:szCs w:val="24"/>
        </w:rPr>
        <w:t xml:space="preserve">методическим рекомендациям </w:t>
      </w:r>
      <w:r w:rsidR="00C23224" w:rsidRPr="00FA32C8">
        <w:rPr>
          <w:rFonts w:ascii="Times New Roman" w:eastAsia="Calibri" w:hAnsi="Times New Roman" w:cs="Times New Roman"/>
          <w:color w:val="auto"/>
          <w:sz w:val="24"/>
          <w:szCs w:val="24"/>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FA32C8">
        <w:rPr>
          <w:rFonts w:ascii="Times New Roman" w:hAnsi="Times New Roman" w:cs="Times New Roman"/>
          <w:sz w:val="24"/>
          <w:szCs w:val="24"/>
        </w:rPr>
        <w:t xml:space="preserve"> </w:t>
      </w:r>
    </w:p>
    <w:p w:rsidR="00FA32C8" w:rsidRPr="00FA32C8" w:rsidRDefault="00FA32C8" w:rsidP="00824DEE">
      <w:pPr>
        <w:tabs>
          <w:tab w:val="left" w:pos="0"/>
        </w:tabs>
        <w:spacing w:line="360" w:lineRule="auto"/>
        <w:jc w:val="center"/>
        <w:rPr>
          <w:rFonts w:ascii="Times New Roman" w:eastAsia="Calibri" w:hAnsi="Times New Roman" w:cs="Times New Roman"/>
          <w:b/>
          <w:color w:val="auto"/>
          <w:sz w:val="24"/>
          <w:szCs w:val="24"/>
          <w:lang w:eastAsia="en-US"/>
        </w:rPr>
      </w:pPr>
    </w:p>
    <w:p w:rsidR="00093D3B" w:rsidRPr="00FA32C8" w:rsidRDefault="000C0CF6" w:rsidP="00824DEE">
      <w:pPr>
        <w:tabs>
          <w:tab w:val="left" w:pos="0"/>
        </w:tabs>
        <w:spacing w:line="360" w:lineRule="auto"/>
        <w:jc w:val="center"/>
        <w:rPr>
          <w:rFonts w:ascii="Times New Roman" w:hAnsi="Times New Roman" w:cs="Times New Roman"/>
          <w:b/>
          <w:sz w:val="24"/>
          <w:szCs w:val="24"/>
        </w:rPr>
      </w:pPr>
      <w:r w:rsidRPr="00FA32C8">
        <w:rPr>
          <w:rFonts w:ascii="Times New Roman" w:eastAsia="Calibri" w:hAnsi="Times New Roman" w:cs="Times New Roman"/>
          <w:b/>
          <w:color w:val="auto"/>
          <w:sz w:val="24"/>
          <w:szCs w:val="24"/>
          <w:lang w:eastAsia="en-US"/>
        </w:rPr>
        <w:t>Базовый перечень показателей результативности</w:t>
      </w:r>
      <w:r w:rsidR="00E86B0F" w:rsidRPr="00FA32C8" w:rsidDel="00E86B0F">
        <w:rPr>
          <w:rFonts w:ascii="Times New Roman" w:hAnsi="Times New Roman" w:cs="Times New Roman"/>
          <w:b/>
          <w:sz w:val="24"/>
          <w:szCs w:val="24"/>
        </w:rPr>
        <w:t xml:space="preserve"> </w:t>
      </w:r>
      <w:r w:rsidR="00E86B0F" w:rsidRPr="00FA32C8">
        <w:rPr>
          <w:rFonts w:ascii="Times New Roman" w:hAnsi="Times New Roman" w:cs="Times New Roman"/>
          <w:b/>
          <w:sz w:val="24"/>
          <w:szCs w:val="24"/>
        </w:rPr>
        <w:t>Центра</w:t>
      </w:r>
    </w:p>
    <w:tbl>
      <w:tblPr>
        <w:tblW w:w="10306" w:type="dxa"/>
        <w:tblLayout w:type="fixed"/>
        <w:tblCellMar>
          <w:left w:w="10" w:type="dxa"/>
          <w:right w:w="10" w:type="dxa"/>
        </w:tblCellMar>
        <w:tblLook w:val="04A0" w:firstRow="1" w:lastRow="0" w:firstColumn="1" w:lastColumn="0" w:noHBand="0" w:noVBand="1"/>
      </w:tblPr>
      <w:tblGrid>
        <w:gridCol w:w="562"/>
        <w:gridCol w:w="5402"/>
        <w:gridCol w:w="1767"/>
        <w:gridCol w:w="993"/>
        <w:gridCol w:w="880"/>
        <w:gridCol w:w="702"/>
      </w:tblGrid>
      <w:tr w:rsidR="00093D3B" w:rsidRPr="00FA32C8" w:rsidTr="00FA32C8">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FA32C8" w:rsidRDefault="00093D3B">
            <w:pPr>
              <w:pStyle w:val="24"/>
              <w:shd w:val="clear" w:color="auto" w:fill="auto"/>
              <w:spacing w:before="0" w:line="240" w:lineRule="auto"/>
              <w:ind w:firstLine="0"/>
              <w:jc w:val="center"/>
              <w:rPr>
                <w:sz w:val="24"/>
                <w:szCs w:val="24"/>
              </w:rPr>
            </w:pPr>
            <w:r w:rsidRPr="00FA32C8">
              <w:rPr>
                <w:sz w:val="24"/>
                <w:szCs w:val="24"/>
              </w:rPr>
              <w:t>№</w:t>
            </w:r>
          </w:p>
          <w:p w:rsidR="00093D3B" w:rsidRPr="00FA32C8" w:rsidRDefault="00093D3B">
            <w:pPr>
              <w:pStyle w:val="24"/>
              <w:shd w:val="clear" w:color="auto" w:fill="auto"/>
              <w:spacing w:before="0" w:line="240" w:lineRule="auto"/>
              <w:ind w:firstLine="0"/>
              <w:jc w:val="center"/>
              <w:rPr>
                <w:sz w:val="24"/>
                <w:szCs w:val="24"/>
              </w:rPr>
            </w:pPr>
            <w:r w:rsidRPr="00FA32C8">
              <w:rPr>
                <w:rStyle w:val="212pt"/>
              </w:rPr>
              <w:t>п/п</w:t>
            </w:r>
          </w:p>
        </w:tc>
        <w:tc>
          <w:tcPr>
            <w:tcW w:w="5402" w:type="dxa"/>
            <w:vMerge w:val="restart"/>
            <w:tcBorders>
              <w:top w:val="single" w:sz="4" w:space="0" w:color="auto"/>
              <w:left w:val="single" w:sz="4" w:space="0" w:color="auto"/>
              <w:bottom w:val="nil"/>
              <w:right w:val="nil"/>
            </w:tcBorders>
            <w:shd w:val="clear" w:color="auto" w:fill="FFFFFF"/>
            <w:vAlign w:val="center"/>
            <w:hideMark/>
          </w:tcPr>
          <w:p w:rsidR="00093D3B" w:rsidRPr="00FA32C8" w:rsidRDefault="00093D3B">
            <w:pPr>
              <w:pStyle w:val="24"/>
              <w:shd w:val="clear" w:color="auto" w:fill="auto"/>
              <w:spacing w:before="0" w:line="240" w:lineRule="auto"/>
              <w:ind w:firstLine="0"/>
              <w:jc w:val="center"/>
              <w:rPr>
                <w:sz w:val="24"/>
                <w:szCs w:val="24"/>
              </w:rPr>
            </w:pPr>
            <w:r w:rsidRPr="00FA32C8">
              <w:rPr>
                <w:rStyle w:val="212pt"/>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FA32C8" w:rsidRDefault="00093D3B">
            <w:pPr>
              <w:pStyle w:val="24"/>
              <w:shd w:val="clear" w:color="auto" w:fill="auto"/>
              <w:spacing w:before="0" w:line="240" w:lineRule="auto"/>
              <w:ind w:firstLine="0"/>
              <w:jc w:val="center"/>
              <w:rPr>
                <w:rStyle w:val="212pt"/>
              </w:rPr>
            </w:pPr>
            <w:r w:rsidRPr="00FA32C8">
              <w:rPr>
                <w:rStyle w:val="212pt"/>
              </w:rPr>
              <w:t xml:space="preserve">Минимальное значение, начиная </w:t>
            </w:r>
          </w:p>
          <w:p w:rsidR="00093D3B" w:rsidRPr="00FA32C8" w:rsidRDefault="00093D3B">
            <w:pPr>
              <w:pStyle w:val="24"/>
              <w:shd w:val="clear" w:color="auto" w:fill="auto"/>
              <w:spacing w:before="0" w:line="240" w:lineRule="auto"/>
              <w:ind w:firstLine="0"/>
              <w:jc w:val="center"/>
              <w:rPr>
                <w:sz w:val="24"/>
                <w:szCs w:val="24"/>
              </w:rPr>
            </w:pPr>
            <w:r w:rsidRPr="00FA32C8">
              <w:rPr>
                <w:rStyle w:val="212pt"/>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FA32C8" w:rsidRDefault="00093D3B">
            <w:pPr>
              <w:pStyle w:val="24"/>
              <w:shd w:val="clear" w:color="auto" w:fill="auto"/>
              <w:spacing w:before="0" w:line="240" w:lineRule="auto"/>
              <w:ind w:firstLine="0"/>
              <w:jc w:val="center"/>
              <w:rPr>
                <w:sz w:val="24"/>
                <w:szCs w:val="24"/>
              </w:rPr>
            </w:pPr>
            <w:r w:rsidRPr="00FA32C8">
              <w:rPr>
                <w:rStyle w:val="212pt"/>
              </w:rPr>
              <w:t>Значение субъекта Российской Федерации</w:t>
            </w:r>
          </w:p>
        </w:tc>
      </w:tr>
      <w:tr w:rsidR="00093D3B" w:rsidRPr="00FA32C8" w:rsidTr="00FA32C8">
        <w:trPr>
          <w:trHeight w:hRule="exact" w:val="538"/>
        </w:trPr>
        <w:tc>
          <w:tcPr>
            <w:tcW w:w="562" w:type="dxa"/>
            <w:vMerge/>
            <w:tcBorders>
              <w:top w:val="single" w:sz="4" w:space="0" w:color="auto"/>
              <w:left w:val="single" w:sz="4" w:space="0" w:color="auto"/>
              <w:bottom w:val="nil"/>
              <w:right w:val="nil"/>
            </w:tcBorders>
            <w:vAlign w:val="center"/>
            <w:hideMark/>
          </w:tcPr>
          <w:p w:rsidR="00093D3B" w:rsidRPr="00FA32C8" w:rsidRDefault="00093D3B" w:rsidP="003D43F8">
            <w:pPr>
              <w:rPr>
                <w:rFonts w:ascii="Times New Roman" w:eastAsia="Times New Roman" w:hAnsi="Times New Roman" w:cs="Times New Roman"/>
                <w:sz w:val="24"/>
                <w:szCs w:val="24"/>
              </w:rPr>
            </w:pPr>
          </w:p>
        </w:tc>
        <w:tc>
          <w:tcPr>
            <w:tcW w:w="5402" w:type="dxa"/>
            <w:vMerge/>
            <w:tcBorders>
              <w:top w:val="single" w:sz="4" w:space="0" w:color="auto"/>
              <w:left w:val="single" w:sz="4" w:space="0" w:color="auto"/>
              <w:bottom w:val="nil"/>
              <w:right w:val="nil"/>
            </w:tcBorders>
            <w:vAlign w:val="center"/>
            <w:hideMark/>
          </w:tcPr>
          <w:p w:rsidR="00093D3B" w:rsidRPr="00FA32C8" w:rsidRDefault="00093D3B" w:rsidP="003D43F8">
            <w:pPr>
              <w:rPr>
                <w:rFonts w:ascii="Times New Roman" w:eastAsia="Times New Roman" w:hAnsi="Times New Roman" w:cs="Times New Roman"/>
                <w:sz w:val="24"/>
                <w:szCs w:val="24"/>
              </w:rPr>
            </w:pPr>
          </w:p>
        </w:tc>
        <w:tc>
          <w:tcPr>
            <w:tcW w:w="1767" w:type="dxa"/>
            <w:vMerge/>
            <w:tcBorders>
              <w:top w:val="single" w:sz="4" w:space="0" w:color="auto"/>
              <w:left w:val="single" w:sz="4" w:space="0" w:color="auto"/>
              <w:bottom w:val="nil"/>
              <w:right w:val="nil"/>
            </w:tcBorders>
            <w:vAlign w:val="center"/>
            <w:hideMark/>
          </w:tcPr>
          <w:p w:rsidR="00093D3B" w:rsidRPr="00FA32C8" w:rsidRDefault="00093D3B" w:rsidP="003D43F8">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rStyle w:val="212pt"/>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rStyle w:val="212pt"/>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rStyle w:val="212pt"/>
              </w:rPr>
              <w:t>2021</w:t>
            </w:r>
          </w:p>
        </w:tc>
      </w:tr>
      <w:tr w:rsidR="00093D3B" w:rsidRPr="00FA32C8" w:rsidTr="00FA32C8">
        <w:trPr>
          <w:trHeight w:hRule="exact" w:val="85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детей, обучающихся по предметной области «Технология» на базе Центр</w:t>
            </w:r>
            <w:r w:rsidR="00E86B0F" w:rsidRPr="00FA32C8">
              <w:rPr>
                <w:sz w:val="24"/>
                <w:szCs w:val="24"/>
              </w:rPr>
              <w:t>а</w:t>
            </w:r>
            <w:r w:rsidRPr="00FA32C8">
              <w:rPr>
                <w:sz w:val="24"/>
                <w:szCs w:val="24"/>
              </w:rPr>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lang w:val="en-US"/>
              </w:rPr>
              <w:t>∑X</w:t>
            </w:r>
            <w:r w:rsidRPr="00FA32C8">
              <w:rPr>
                <w:sz w:val="24"/>
                <w:szCs w:val="24"/>
                <w:vertAlign w:val="subscript"/>
                <w:lang w:val="en-US"/>
              </w:rPr>
              <w:t>i</w:t>
            </w:r>
            <w:r w:rsidRPr="00FA32C8">
              <w:rPr>
                <w:rStyle w:val="af2"/>
                <w:sz w:val="24"/>
                <w:szCs w:val="24"/>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1122"/>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 xml:space="preserve">Численность детей, обучающихся по предметной области </w:t>
            </w:r>
            <w:r w:rsidR="0091533C" w:rsidRPr="00FA32C8">
              <w:rPr>
                <w:sz w:val="24"/>
                <w:szCs w:val="24"/>
              </w:rPr>
              <w:t xml:space="preserve">«Физическая культура и основы безопасности жизнедеятельности» </w:t>
            </w:r>
            <w:r w:rsidRPr="00FA32C8">
              <w:rPr>
                <w:sz w:val="24"/>
                <w:szCs w:val="24"/>
              </w:rPr>
              <w:t>на базе Центров</w:t>
            </w:r>
            <w:r w:rsidR="007A1ADB" w:rsidRPr="00FA32C8">
              <w:rPr>
                <w:sz w:val="24"/>
                <w:szCs w:val="24"/>
              </w:rPr>
              <w:t xml:space="preserve"> </w:t>
            </w:r>
            <w:r w:rsidRPr="00FA32C8">
              <w:rPr>
                <w:sz w:val="24"/>
                <w:szCs w:val="24"/>
              </w:rPr>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lang w:val="en-US"/>
              </w:rPr>
              <w:t>∑Y</w:t>
            </w:r>
            <w:r w:rsidRPr="00FA32C8">
              <w:rPr>
                <w:sz w:val="24"/>
                <w:szCs w:val="24"/>
                <w:vertAlign w:val="subscript"/>
                <w:lang w:val="en-US"/>
              </w:rPr>
              <w:t>i</w:t>
            </w:r>
            <w:r w:rsidRPr="00FA32C8">
              <w:rPr>
                <w:rStyle w:val="af2"/>
                <w:sz w:val="24"/>
                <w:szCs w:val="24"/>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854"/>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 xml:space="preserve">Численность детей, обучающихся по предметной области </w:t>
            </w:r>
            <w:r w:rsidR="0091533C" w:rsidRPr="00FA32C8">
              <w:rPr>
                <w:rFonts w:eastAsia="Calibri"/>
                <w:color w:val="auto"/>
                <w:sz w:val="24"/>
                <w:szCs w:val="24"/>
                <w:lang w:eastAsia="en-US"/>
              </w:rPr>
              <w:t>«Математика и информатика»</w:t>
            </w:r>
            <w:r w:rsidRPr="00FA32C8">
              <w:rPr>
                <w:sz w:val="24"/>
                <w:szCs w:val="24"/>
              </w:rPr>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lang w:val="en-US"/>
              </w:rPr>
              <w:t>∑Z</w:t>
            </w:r>
            <w:r w:rsidRPr="00FA32C8">
              <w:rPr>
                <w:sz w:val="24"/>
                <w:szCs w:val="24"/>
                <w:vertAlign w:val="subscript"/>
                <w:lang w:val="en-US"/>
              </w:rPr>
              <w:t>i</w:t>
            </w:r>
            <w:r w:rsidRPr="00FA32C8">
              <w:rPr>
                <w:rStyle w:val="af2"/>
                <w:sz w:val="24"/>
                <w:szCs w:val="24"/>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E86B0F" w:rsidRPr="00FA32C8" w:rsidTr="00FA32C8">
        <w:trPr>
          <w:trHeight w:hRule="exact" w:val="569"/>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FA32C8" w:rsidRDefault="00E86B0F" w:rsidP="00E86B0F">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E86B0F" w:rsidRPr="00FA32C8" w:rsidRDefault="00E86B0F" w:rsidP="00E86B0F">
            <w:pPr>
              <w:pStyle w:val="24"/>
              <w:shd w:val="clear" w:color="auto" w:fill="auto"/>
              <w:spacing w:before="0" w:line="240" w:lineRule="auto"/>
              <w:ind w:firstLine="0"/>
              <w:rPr>
                <w:sz w:val="24"/>
                <w:szCs w:val="24"/>
              </w:rPr>
            </w:pPr>
            <w:r w:rsidRPr="00FA32C8">
              <w:rPr>
                <w:sz w:val="24"/>
                <w:szCs w:val="24"/>
              </w:rPr>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FA32C8" w:rsidRDefault="00E86B0F" w:rsidP="00E86B0F">
            <w:pPr>
              <w:pStyle w:val="24"/>
              <w:shd w:val="clear" w:color="auto" w:fill="auto"/>
              <w:spacing w:before="0" w:line="240" w:lineRule="auto"/>
              <w:ind w:firstLine="0"/>
              <w:jc w:val="center"/>
              <w:rPr>
                <w:sz w:val="24"/>
                <w:szCs w:val="24"/>
                <w:lang w:val="en-US"/>
              </w:rPr>
            </w:pPr>
            <w:r w:rsidRPr="00FA32C8">
              <w:rPr>
                <w:sz w:val="24"/>
                <w:szCs w:val="24"/>
              </w:rPr>
              <w:t>0,7*</w:t>
            </w:r>
            <w:r w:rsidRPr="00FA32C8">
              <w:rPr>
                <w:sz w:val="24"/>
                <w:szCs w:val="24"/>
                <w:lang w:val="en-US"/>
              </w:rPr>
              <w:t xml:space="preserve"> P</w:t>
            </w:r>
            <w:r w:rsidRPr="00FA32C8">
              <w:rPr>
                <w:sz w:val="24"/>
                <w:szCs w:val="24"/>
                <w:vertAlign w:val="subscript"/>
                <w:lang w:val="en-US"/>
              </w:rPr>
              <w:t>i</w:t>
            </w:r>
            <w:r w:rsidRPr="00FA32C8">
              <w:rPr>
                <w:rStyle w:val="af2"/>
                <w:sz w:val="24"/>
                <w:szCs w:val="24"/>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FA32C8" w:rsidRDefault="00E86B0F" w:rsidP="00E86B0F">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FA32C8" w:rsidRDefault="00E86B0F" w:rsidP="00E86B0F">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FA32C8" w:rsidRDefault="00E86B0F" w:rsidP="00E86B0F">
            <w:pPr>
              <w:spacing w:line="240" w:lineRule="auto"/>
              <w:jc w:val="center"/>
              <w:rPr>
                <w:rFonts w:ascii="Times New Roman" w:hAnsi="Times New Roman" w:cs="Times New Roman"/>
                <w:sz w:val="24"/>
                <w:szCs w:val="24"/>
              </w:rPr>
            </w:pPr>
          </w:p>
        </w:tc>
      </w:tr>
      <w:tr w:rsidR="00093D3B" w:rsidRPr="00FA32C8" w:rsidTr="00FA32C8">
        <w:trPr>
          <w:trHeight w:hRule="exact" w:val="56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детей, занимающихся шахматами на постоянной основе, на базе Центров</w:t>
            </w:r>
            <w:r w:rsidR="004918C2" w:rsidRPr="00FA32C8">
              <w:rPr>
                <w:sz w:val="24"/>
                <w:szCs w:val="24"/>
              </w:rPr>
              <w:t xml:space="preserve"> </w:t>
            </w:r>
            <w:r w:rsidRPr="00FA32C8">
              <w:rPr>
                <w:sz w:val="24"/>
                <w:szCs w:val="24"/>
              </w:rPr>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rPr>
              <w:t>20*</w:t>
            </w:r>
            <w:r w:rsidRPr="00FA32C8">
              <w:rPr>
                <w:sz w:val="24"/>
                <w:szCs w:val="24"/>
                <w:lang w:val="en-US"/>
              </w:rPr>
              <w:t>I</w:t>
            </w:r>
            <w:r w:rsidRPr="00FA32C8">
              <w:rPr>
                <w:rStyle w:val="af2"/>
                <w:sz w:val="24"/>
                <w:szCs w:val="24"/>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84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человек, ежемесячно использующих инфраструктуру Центров</w:t>
            </w:r>
            <w:r w:rsidR="003A14D7" w:rsidRPr="00FA32C8">
              <w:rPr>
                <w:sz w:val="24"/>
                <w:szCs w:val="24"/>
              </w:rPr>
              <w:t xml:space="preserve"> </w:t>
            </w:r>
            <w:r w:rsidRPr="00FA32C8">
              <w:rPr>
                <w:sz w:val="24"/>
                <w:szCs w:val="24"/>
              </w:rPr>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r w:rsidRPr="00FA32C8">
              <w:rPr>
                <w:sz w:val="24"/>
                <w:szCs w:val="24"/>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852"/>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r w:rsidRPr="00FA32C8">
              <w:rPr>
                <w:sz w:val="24"/>
                <w:szCs w:val="24"/>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58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Количество проведенных на площадке Центр</w:t>
            </w:r>
            <w:r w:rsidR="00824DEE" w:rsidRPr="00FA32C8">
              <w:rPr>
                <w:sz w:val="24"/>
                <w:szCs w:val="24"/>
              </w:rPr>
              <w:t xml:space="preserve">а </w:t>
            </w:r>
            <w:r w:rsidRPr="00FA32C8">
              <w:rPr>
                <w:sz w:val="24"/>
                <w:szCs w:val="24"/>
              </w:rPr>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5*</w:t>
            </w:r>
            <w:r w:rsidRPr="00FA32C8">
              <w:rPr>
                <w:sz w:val="24"/>
                <w:szCs w:val="24"/>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56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FA32C8">
            <w:pPr>
              <w:pStyle w:val="24"/>
              <w:shd w:val="clear" w:color="auto" w:fill="auto"/>
              <w:spacing w:before="0" w:line="240" w:lineRule="auto"/>
              <w:ind w:firstLine="0"/>
              <w:rPr>
                <w:sz w:val="24"/>
                <w:szCs w:val="24"/>
              </w:rPr>
            </w:pPr>
            <w:r w:rsidRPr="00FA32C8">
              <w:rPr>
                <w:sz w:val="24"/>
                <w:szCs w:val="24"/>
              </w:rPr>
              <w:t>Повышение квалификации педагогов по предмету «Технология»</w:t>
            </w:r>
            <w:r w:rsidR="00E86B0F" w:rsidRPr="00FA32C8">
              <w:rPr>
                <w:sz w:val="24"/>
                <w:szCs w:val="24"/>
              </w:rPr>
              <w:t>,</w:t>
            </w:r>
            <w:r w:rsidRPr="00FA32C8">
              <w:rPr>
                <w:sz w:val="24"/>
                <w:szCs w:val="24"/>
              </w:rPr>
              <w:t xml:space="preserve"> 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569"/>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 xml:space="preserve">Повышение квалификации </w:t>
            </w:r>
            <w:r w:rsidR="00E86B0F" w:rsidRPr="00FA32C8">
              <w:rPr>
                <w:sz w:val="24"/>
                <w:szCs w:val="24"/>
              </w:rPr>
              <w:t xml:space="preserve">иных </w:t>
            </w:r>
            <w:r w:rsidRPr="00FA32C8">
              <w:rPr>
                <w:sz w:val="24"/>
                <w:szCs w:val="24"/>
              </w:rPr>
              <w:t xml:space="preserve">сотрудников Центров </w:t>
            </w:r>
            <w:r w:rsidR="003A14D7" w:rsidRPr="00FA32C8">
              <w:rPr>
                <w:sz w:val="24"/>
                <w:szCs w:val="24"/>
                <w:highlight w:val="lightGray"/>
              </w:rPr>
              <w:t>«Точкароста"роста»</w:t>
            </w:r>
            <w:r w:rsidR="00FA32C8">
              <w:rPr>
                <w:sz w:val="24"/>
                <w:szCs w:val="24"/>
              </w:rPr>
              <w:t xml:space="preserve"> </w:t>
            </w:r>
            <w:r w:rsidRPr="00FA32C8">
              <w:rPr>
                <w:sz w:val="24"/>
                <w:szCs w:val="24"/>
              </w:rPr>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bl>
    <w:p w:rsidR="00E86B0F" w:rsidRPr="00FA32C8" w:rsidRDefault="00093D3B" w:rsidP="00F06AFC">
      <w:pPr>
        <w:spacing w:line="360" w:lineRule="auto"/>
        <w:ind w:firstLine="709"/>
        <w:jc w:val="both"/>
        <w:rPr>
          <w:rFonts w:ascii="Times New Roman" w:hAnsi="Times New Roman" w:cs="Times New Roman"/>
          <w:b/>
          <w:sz w:val="24"/>
          <w:szCs w:val="24"/>
        </w:rPr>
        <w:sectPr w:rsidR="00E86B0F" w:rsidRPr="00FA32C8" w:rsidSect="00FA32C8">
          <w:pgSz w:w="11906" w:h="16838"/>
          <w:pgMar w:top="567" w:right="567" w:bottom="1134" w:left="1134" w:header="708" w:footer="708" w:gutter="0"/>
          <w:cols w:space="708"/>
          <w:titlePg/>
          <w:docGrid w:linePitch="360"/>
        </w:sectPr>
      </w:pPr>
      <w:r w:rsidRPr="00FA32C8">
        <w:rPr>
          <w:rFonts w:ascii="Times New Roman" w:hAnsi="Times New Roman" w:cs="Times New Roman"/>
          <w:b/>
          <w:sz w:val="24"/>
          <w:szCs w:val="24"/>
        </w:rPr>
        <w:t xml:space="preserve"> </w:t>
      </w:r>
    </w:p>
    <w:p w:rsidR="00B169A0" w:rsidRPr="00E86B0F" w:rsidRDefault="00B169A0" w:rsidP="00FA32C8">
      <w:pPr>
        <w:pStyle w:val="1"/>
        <w:spacing w:before="0" w:after="0" w:line="240" w:lineRule="auto"/>
        <w:jc w:val="right"/>
        <w:rPr>
          <w:rFonts w:cs="Times New Roman"/>
          <w:b w:val="0"/>
          <w:sz w:val="28"/>
          <w:szCs w:val="28"/>
        </w:rPr>
      </w:pPr>
      <w:r w:rsidRPr="00E86B0F">
        <w:rPr>
          <w:rFonts w:cs="Times New Roman"/>
          <w:b w:val="0"/>
          <w:sz w:val="28"/>
          <w:szCs w:val="28"/>
        </w:rPr>
        <w:lastRenderedPageBreak/>
        <w:t>Приложение № 5</w:t>
      </w:r>
    </w:p>
    <w:p w:rsidR="0056051B" w:rsidRDefault="00B169A0" w:rsidP="00FA32C8">
      <w:pPr>
        <w:pStyle w:val="1"/>
        <w:spacing w:before="0" w:after="0" w:line="240" w:lineRule="auto"/>
        <w:ind w:left="2835" w:hanging="765"/>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FA32C8">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FA32C8">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FA32C8">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FA32C8">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FA32C8">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FA32C8">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FA32C8">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FA32C8">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FA32C8">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lastRenderedPageBreak/>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FA32C8">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FA32C8">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FA32C8">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выполняет функцию общественного пространства для развития общекультурных компетенций, цифрового и шахматного образования, проектной </w:t>
      </w:r>
      <w:r w:rsidRPr="00E86B0F">
        <w:rPr>
          <w:rFonts w:ascii="Times New Roman" w:hAnsi="Times New Roman" w:cs="Times New Roman"/>
          <w:sz w:val="28"/>
          <w:szCs w:val="28"/>
        </w:rPr>
        <w:lastRenderedPageBreak/>
        <w:t>деятельности, творческой самореализации детей, педагогов, родительской общественности</w:t>
      </w:r>
      <w:bookmarkStart w:id="14" w:name="sub_223"/>
    </w:p>
    <w:p w:rsidR="00B169A0" w:rsidRPr="00E86B0F" w:rsidRDefault="004918C2"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FA32C8">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FA32C8">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FA32C8">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lastRenderedPageBreak/>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FA32C8"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p>
    <w:p w:rsidR="00FA32C8" w:rsidRDefault="00FA32C8" w:rsidP="003A6A0F">
      <w:pPr>
        <w:ind w:firstLine="720"/>
        <w:jc w:val="both"/>
        <w:rPr>
          <w:rFonts w:ascii="Times New Roman" w:hAnsi="Times New Roman" w:cs="Times New Roman"/>
          <w:sz w:val="28"/>
          <w:szCs w:val="28"/>
        </w:rPr>
      </w:pP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FA32C8">
          <w:pgSz w:w="11906" w:h="16838"/>
          <w:pgMar w:top="567" w:right="567" w:bottom="567" w:left="1134" w:header="426" w:footer="420" w:gutter="0"/>
          <w:cols w:space="708"/>
          <w:titlePg/>
          <w:docGrid w:linePitch="360"/>
        </w:sectPr>
      </w:pPr>
    </w:p>
    <w:p w:rsidR="007C382F" w:rsidRPr="00E86B0F" w:rsidRDefault="007C382F" w:rsidP="00FA32C8">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49" w:rsidRDefault="00415F49" w:rsidP="00B31754">
      <w:pPr>
        <w:spacing w:line="240" w:lineRule="auto"/>
      </w:pPr>
      <w:r>
        <w:separator/>
      </w:r>
    </w:p>
  </w:endnote>
  <w:endnote w:type="continuationSeparator" w:id="0">
    <w:p w:rsidR="00415F49" w:rsidRDefault="00415F49"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49" w:rsidRDefault="00415F49" w:rsidP="00B31754">
      <w:pPr>
        <w:spacing w:line="240" w:lineRule="auto"/>
      </w:pPr>
      <w:r>
        <w:separator/>
      </w:r>
    </w:p>
  </w:footnote>
  <w:footnote w:type="continuationSeparator" w:id="0">
    <w:p w:rsidR="00415F49" w:rsidRDefault="00415F49" w:rsidP="00B31754">
      <w:pPr>
        <w:spacing w:line="240" w:lineRule="auto"/>
      </w:pPr>
      <w:r>
        <w:continuationSeparator/>
      </w:r>
    </w:p>
  </w:footnote>
  <w:footnote w:id="1">
    <w:p w:rsidR="00072875" w:rsidRDefault="00072875">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072875" w:rsidRDefault="00072875">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072875" w:rsidRDefault="00072875">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072875" w:rsidRPr="007D061C" w:rsidRDefault="00072875"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072875" w:rsidRPr="00224C8A" w:rsidRDefault="00072875"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75" w:rsidRPr="00FA32C8" w:rsidRDefault="00072875" w:rsidP="00FA32C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2875"/>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670BE"/>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43AF5"/>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087B"/>
    <w:rsid w:val="003F3337"/>
    <w:rsid w:val="00411269"/>
    <w:rsid w:val="00414EA7"/>
    <w:rsid w:val="00415F49"/>
    <w:rsid w:val="00417C0F"/>
    <w:rsid w:val="0042667F"/>
    <w:rsid w:val="004326C1"/>
    <w:rsid w:val="004430D6"/>
    <w:rsid w:val="004434D2"/>
    <w:rsid w:val="00445126"/>
    <w:rsid w:val="00450168"/>
    <w:rsid w:val="00450331"/>
    <w:rsid w:val="0045127F"/>
    <w:rsid w:val="00453A21"/>
    <w:rsid w:val="004542D9"/>
    <w:rsid w:val="004547E0"/>
    <w:rsid w:val="00454D84"/>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6F6B0E"/>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74000"/>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32C8"/>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E8B1-DB92-4652-B30D-BF3A39A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5970-0DE9-48DB-8BCA-6104FC5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user</cp:lastModifiedBy>
  <cp:revision>11</cp:revision>
  <cp:lastPrinted>2019-03-20T06:18:00Z</cp:lastPrinted>
  <dcterms:created xsi:type="dcterms:W3CDTF">2019-03-17T21:56:00Z</dcterms:created>
  <dcterms:modified xsi:type="dcterms:W3CDTF">2019-03-29T12:11:00Z</dcterms:modified>
</cp:coreProperties>
</file>